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873D" w14:textId="77777777" w:rsidR="00FA679A" w:rsidRPr="00FA679A" w:rsidRDefault="00FA679A" w:rsidP="00FA679A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FA679A">
        <w:rPr>
          <w:b/>
          <w:bCs/>
        </w:rPr>
        <w:t>О ПРИЕМЕ ВИТАМИНОВ И ЛЕКАРСТВЕННЫХ ПРЕПАРАТОВ ВО ВРЕМЯ БЕРЕМЕННОСТИ</w:t>
      </w:r>
    </w:p>
    <w:p w14:paraId="7432DA64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Подавляющее большинство женщин имеют скрытый или явный дефицит каких-либо микронутриентов, одна из важнейших задач — выявить его и принять необходимые меры ещё до наступления беременности.</w:t>
      </w:r>
    </w:p>
    <w:p w14:paraId="5DF1271C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 xml:space="preserve">Точная диагностика — лабораторный анализ уровней витаминов и минералов — сложна, затратна и не всегда доступна (если </w:t>
      </w:r>
      <w:proofErr w:type="spellStart"/>
      <w:r w:rsidRPr="00FA679A">
        <w:rPr>
          <w:sz w:val="24"/>
          <w:szCs w:val="24"/>
        </w:rPr>
        <w:t>манифестную</w:t>
      </w:r>
      <w:proofErr w:type="spellEnd"/>
      <w:r w:rsidRPr="00FA679A">
        <w:rPr>
          <w:sz w:val="24"/>
          <w:szCs w:val="24"/>
        </w:rPr>
        <w:t xml:space="preserve"> анемию можно верифицировать по общему анализу крови, то, например, концентрацию магния приходится определять в слюне, ногтях, волосах или эритроцитах с помощью дорогостоящих методик).</w:t>
      </w:r>
    </w:p>
    <w:p w14:paraId="077655E3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Общие проявления нехватки практически любого микронутриента включают необъяснимые другими причинами слабость, повышенную утомляемость, сниженную физическую и умственную работоспособность, эмоциональную подавленность и т.п. Часто эти неспецифические симптомы связаны с дефицитом микронутриентов при недоедании (например, из-за сниженного аппетита), хронических заболеваниях желудочно-кишечного тракта, особенно сопровождающихся диареей (они снижают всасывание и повышают выведение) и увлечении разнообразными диетами.</w:t>
      </w:r>
    </w:p>
    <w:p w14:paraId="61C98A7A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Нехватка конкретного питательного вещества, как правило, имеет более специфические проявления. Так, например, заподозрить железодефицитную анемию позволяют обильные менструации, кровоточивость дёсен, бледность кожи и слизистых оболочек. Признаками недостаточного потребления йода и связанных с ним нарушений функции щитовидной железы часто становятся повышенная потливость, перепады настроения, необъяснимые изменения массы тела.</w:t>
      </w:r>
    </w:p>
    <w:p w14:paraId="0BD26030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О нехватке кальция и/или метаболически связанного с ним витамина D могут свидетельствовать судороги и слабость, онемение пальцев, изменения текстуры волос и ногтей. Заподозрить дефицит магния позволяют повышенная нервная возбудимость, расстройства сна и мышечные спазмы. Признаки недостатка цинка могут включать разнообразные изменения слизистых оболочек (сухость, изъязвления), кожи, ногтей и волос, а также частые простудные заболевания.</w:t>
      </w:r>
    </w:p>
    <w:p w14:paraId="20C0BA33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Дефицит витамина В12, как правило, проявляется анемией (не всегда сопровождающейся недостатком железа), слабостью, онемением конечностей, расстройствами координации и когнитивными нарушениями. Нехватку остальных витаминов группы В можно заподозрить по кожным проявлениям, отёкам, снижению зрения.</w:t>
      </w:r>
    </w:p>
    <w:p w14:paraId="1CB4092D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Помня о наиболее распространённых дефицитах микронутриентов, можно заподозрить их на приёме: достаточно беглого опроса и осмотра. При обнаружении признаков какого-либо из этих состояний необходимо более детальное обследование с привлечением смежных специалистов и при необходимости восполнение запасов недостающего вещества.</w:t>
      </w:r>
    </w:p>
    <w:p w14:paraId="41D0C43C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 xml:space="preserve">Женщины, особенно планирующие зачатие, нуждаются в дополнительных источниках микронутриентов. По имеющимся рекомендациям ВОЗ абсолютно всем, начиная с периода </w:t>
      </w:r>
      <w:proofErr w:type="spellStart"/>
      <w:r w:rsidRPr="00FA679A">
        <w:rPr>
          <w:sz w:val="24"/>
          <w:szCs w:val="24"/>
        </w:rPr>
        <w:t>прегравидарной</w:t>
      </w:r>
      <w:proofErr w:type="spellEnd"/>
      <w:r w:rsidRPr="00FA679A">
        <w:rPr>
          <w:sz w:val="24"/>
          <w:szCs w:val="24"/>
        </w:rPr>
        <w:t xml:space="preserve"> подготовки, показан приём препаратов фолиевой кислоты и железа — их не хватает подавляющему большинству людей, а дефицит чреват тяжёлыми дефектами развития плода и даже внутри- утробной гибелью24. Существуют данные о связи потребления омега-3 полиненасыщенных жирных кислот и уровня риска </w:t>
      </w:r>
      <w:proofErr w:type="spellStart"/>
      <w:r w:rsidRPr="00FA679A">
        <w:rPr>
          <w:sz w:val="24"/>
          <w:szCs w:val="24"/>
        </w:rPr>
        <w:t>преэклампсии</w:t>
      </w:r>
      <w:proofErr w:type="spellEnd"/>
      <w:r w:rsidRPr="00FA679A">
        <w:rPr>
          <w:sz w:val="24"/>
          <w:szCs w:val="24"/>
        </w:rPr>
        <w:t>, преждевременных родов и низкой массы тела при рождении, так что добавка этих веществ к рациону также целесообразна. Остальные витамины и минералы следует принимать в виде препаратов только при их дефиците.</w:t>
      </w:r>
    </w:p>
    <w:p w14:paraId="0105172E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Беременной пациентке рекомендовано назначить пероральный прием фолиевой кислоты на протяжении первых 12 недель беременности в дозе 400 мкг в день. Назначение фолиевой кислоты на протяжении первых 12 недель беременности снижает риск рождения ребенка с дефектом нервной трубки (например, анэнцефалией или расщеплением позвоночника).</w:t>
      </w:r>
    </w:p>
    <w:p w14:paraId="3B56E9F9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lastRenderedPageBreak/>
        <w:t>Беременной пациентке рекомендовано назначить пероральный прием препаратов йода (калия йодида) на протяжении всей беременности в дозе 200 мкг в день.</w:t>
      </w:r>
    </w:p>
    <w:p w14:paraId="105ABA05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Беременной пациентке группы высокого риска ПЭ при низком потреблении кальция (менее 600 мг/день) рекомендовано назначить пероральный прием препаратов кальция на протяжении всей беременности в дозе 1 г/день.</w:t>
      </w:r>
    </w:p>
    <w:p w14:paraId="039F187A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Назначение препаратов кальция на протяжении всей беременности у пациенток группы высокого риска ПЭ снижает риск развития данного заболевания. Беременной пациентке группы высокого риска гиповитаминоза витамина D рекомендовано назначить пероральный прием витамина D на протяжении всей беременности в дозе 10 мкг (400 МЕ) в день.</w:t>
      </w:r>
    </w:p>
    <w:p w14:paraId="097ABED0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В группе высокого риска гиповитаминоза витамина D его назначение снижает риск таких акушерских осложнений, как ПЭ, ЗРП и ГСД. К группе высокого риска гиповитаминоза витамина D относятся женщины с темной кожей, имеющие ограничения пребывания на солнце, со сниженным уровнем потребления мяса, жирной рыбы, яиц, с ИМТ до беременности ≥30 кг/м.</w:t>
      </w:r>
    </w:p>
    <w:p w14:paraId="44F6F7C5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>Один из важнейших микронутриентов — магний, — как правило, остаётся без заслуженного внимания. При этом 30% жителей России получают менее 70% от суточной потребности этого элемента. Это неудивительно, поскольку в рационе среднестатистического россиянина продуктов, богатых этим элементом (</w:t>
      </w:r>
      <w:proofErr w:type="spellStart"/>
      <w:r w:rsidRPr="00FA679A">
        <w:rPr>
          <w:sz w:val="24"/>
          <w:szCs w:val="24"/>
        </w:rPr>
        <w:t>длиннозёрного</w:t>
      </w:r>
      <w:proofErr w:type="spellEnd"/>
      <w:r w:rsidRPr="00FA679A">
        <w:rPr>
          <w:sz w:val="24"/>
          <w:szCs w:val="24"/>
        </w:rPr>
        <w:t xml:space="preserve"> коричневого риса, кукурузы, шпината, бобов, картофеля с кожурой, орехов, бананов, магниевой минеральной воды), недостаточно для поступления необходимых 320 мг/</w:t>
      </w:r>
      <w:proofErr w:type="spellStart"/>
      <w:r w:rsidRPr="00FA679A">
        <w:rPr>
          <w:sz w:val="24"/>
          <w:szCs w:val="24"/>
        </w:rPr>
        <w:t>сут</w:t>
      </w:r>
      <w:proofErr w:type="spellEnd"/>
      <w:r w:rsidRPr="00FA679A">
        <w:rPr>
          <w:sz w:val="24"/>
          <w:szCs w:val="24"/>
        </w:rPr>
        <w:t>. Беременным этого микронутриента нужно ещё больше — 400 мг/</w:t>
      </w:r>
      <w:proofErr w:type="spellStart"/>
      <w:r w:rsidRPr="00FA679A">
        <w:rPr>
          <w:sz w:val="24"/>
          <w:szCs w:val="24"/>
        </w:rPr>
        <w:t>сут</w:t>
      </w:r>
      <w:proofErr w:type="spellEnd"/>
      <w:r w:rsidRPr="00FA679A">
        <w:rPr>
          <w:sz w:val="24"/>
          <w:szCs w:val="24"/>
        </w:rPr>
        <w:t xml:space="preserve">, что связано с повышенным расходом на рост матки, формирование плаценты и нужды плода. Магний необходим для процессов деления клетки, что особенно важно на ранних этапах эмбриогенеза, а также при инвазии </w:t>
      </w:r>
      <w:proofErr w:type="spellStart"/>
      <w:r w:rsidRPr="00FA679A">
        <w:rPr>
          <w:sz w:val="24"/>
          <w:szCs w:val="24"/>
        </w:rPr>
        <w:t>трофобласта</w:t>
      </w:r>
      <w:proofErr w:type="spellEnd"/>
      <w:r w:rsidRPr="00FA679A">
        <w:rPr>
          <w:sz w:val="24"/>
          <w:szCs w:val="24"/>
        </w:rPr>
        <w:t xml:space="preserve"> и формировании плаценты. Кроме того, магний участвует в энергетическом обмене — в клетках наибольшее его количество сосредоточено в митохондриях, где он служит кофактором ряда ферментов и образует стабильные комплексы с АТФ. Соответственно, наибольшую магниевую потребность испытывают органы с интенсивным энергообменом — мозг, миокард, плацента, матка и скелетные мышцы (если не считать кости, в которых находится до 60% запасов этого элемента, обеспечивающего прочность ткани и абсорбцию кальция). Ещё одна важная роль магния — обеспечение фазы покоя при проведении нервных импульсов и участие в синтезе ключевых нейромедиаторов. И этим процессы с его участием не исчерпываются: среди них регуляция сосудистого тонуса и поддержание нормального артериального давления, профилактика </w:t>
      </w:r>
      <w:proofErr w:type="gramStart"/>
      <w:r w:rsidRPr="00FA679A">
        <w:rPr>
          <w:sz w:val="24"/>
          <w:szCs w:val="24"/>
        </w:rPr>
        <w:t>чрез- мерного</w:t>
      </w:r>
      <w:proofErr w:type="gramEnd"/>
      <w:r w:rsidRPr="00FA679A">
        <w:rPr>
          <w:sz w:val="24"/>
          <w:szCs w:val="24"/>
        </w:rPr>
        <w:t xml:space="preserve"> тромбообразования и многое другое. Этот элемент присутствует в качестве кофактора примерно в 500 белках, в числе которых более 300 ферментов, что подтверждает многообразие его физиологических функций.</w:t>
      </w:r>
    </w:p>
    <w:p w14:paraId="518C21F9" w14:textId="77777777" w:rsidR="00FA679A" w:rsidRPr="00FA679A" w:rsidRDefault="00FA679A" w:rsidP="00FA679A">
      <w:pPr>
        <w:spacing w:after="0"/>
        <w:ind w:firstLine="709"/>
        <w:jc w:val="both"/>
        <w:rPr>
          <w:sz w:val="24"/>
          <w:szCs w:val="24"/>
        </w:rPr>
      </w:pPr>
      <w:r w:rsidRPr="00FA679A">
        <w:rPr>
          <w:sz w:val="24"/>
          <w:szCs w:val="24"/>
        </w:rPr>
        <w:t xml:space="preserve">Современное развитие </w:t>
      </w:r>
      <w:proofErr w:type="spellStart"/>
      <w:r w:rsidRPr="00FA679A">
        <w:rPr>
          <w:sz w:val="24"/>
          <w:szCs w:val="24"/>
        </w:rPr>
        <w:t>нутрициологии</w:t>
      </w:r>
      <w:proofErr w:type="spellEnd"/>
      <w:r w:rsidRPr="00FA679A">
        <w:rPr>
          <w:sz w:val="24"/>
          <w:szCs w:val="24"/>
        </w:rPr>
        <w:t xml:space="preserve"> и диететики — путь к формированию ответственного отношения к здоровью и приобретение новых знаний о его поддержании. Роль питания сложно переоценить, при этом каждый его компонент важен и не должен быть забыт. Как показывают исследования, плод нуждается в сбалансированном поступлении питательных веществ, и заботиться об этом, конечно, должна будущая мать. Задача акушера-гинеколога — помочь ей сформировать правильный рацион и компенсировать тот или иной дефицит лекарственными препаратами.</w:t>
      </w:r>
    </w:p>
    <w:p w14:paraId="7F97EA3A" w14:textId="77777777" w:rsidR="00F12C76" w:rsidRPr="00FA679A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FA679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9A"/>
    <w:rsid w:val="006C0B77"/>
    <w:rsid w:val="008242FF"/>
    <w:rsid w:val="00870751"/>
    <w:rsid w:val="00922C48"/>
    <w:rsid w:val="00B915B7"/>
    <w:rsid w:val="00EA59DF"/>
    <w:rsid w:val="00EE4070"/>
    <w:rsid w:val="00F12C76"/>
    <w:rsid w:val="00FA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3B26"/>
  <w15:chartTrackingRefBased/>
  <w15:docId w15:val="{BCFECBA7-89AD-46B2-953B-1175B8E2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2024-07-26T11:23:00Z</dcterms:created>
  <dcterms:modified xsi:type="dcterms:W3CDTF">2024-07-26T11:24:00Z</dcterms:modified>
</cp:coreProperties>
</file>